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7A0551" w:rsidRDefault="00273F1C">
            <w:pPr>
              <w:pStyle w:val="TableParagraph"/>
              <w:spacing w:line="256" w:lineRule="exact"/>
              <w:ind w:left="108"/>
              <w:rPr>
                <w:b/>
                <w:sz w:val="24"/>
              </w:rPr>
            </w:pPr>
            <w:r>
              <w:rPr>
                <w:b/>
                <w:sz w:val="24"/>
              </w:rPr>
              <w:t>05.09</w:t>
            </w:r>
            <w:r w:rsidR="00F86D2D" w:rsidRPr="007A0551">
              <w:rPr>
                <w:b/>
                <w:sz w:val="24"/>
              </w:rPr>
              <w:t>.</w:t>
            </w:r>
            <w:proofErr w:type="gramStart"/>
            <w:r w:rsidR="00F86D2D" w:rsidRPr="007A0551">
              <w:rPr>
                <w:b/>
                <w:sz w:val="24"/>
              </w:rPr>
              <w:t xml:space="preserve">2022 </w:t>
            </w:r>
            <w:r w:rsidR="00140FA8" w:rsidRPr="007A0551">
              <w:rPr>
                <w:b/>
                <w:sz w:val="24"/>
              </w:rPr>
              <w:t xml:space="preserve">     </w:t>
            </w:r>
            <w:r w:rsidR="0031120E">
              <w:rPr>
                <w:b/>
                <w:sz w:val="24"/>
              </w:rPr>
              <w:t>10</w:t>
            </w:r>
            <w:proofErr w:type="gramEnd"/>
            <w:r w:rsidR="00F86D2D" w:rsidRPr="007A0551">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273F1C">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273F1C">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rsidP="003E7A33">
            <w:pPr>
              <w:pStyle w:val="TableParagraph"/>
              <w:spacing w:line="256" w:lineRule="exact"/>
              <w:rPr>
                <w:b/>
                <w:sz w:val="24"/>
              </w:rPr>
            </w:pPr>
          </w:p>
        </w:tc>
      </w:tr>
    </w:tbl>
    <w:p w:rsidR="00E24221" w:rsidRDefault="00E24221" w:rsidP="00E24221">
      <w:pPr>
        <w:pStyle w:val="KonuBal"/>
      </w:pPr>
      <w:r>
        <w:rPr>
          <w:color w:val="FF0000"/>
        </w:rPr>
        <w:t>.</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826A75">
        <w:trPr>
          <w:trHeight w:val="589"/>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D0725C" w:rsidRPr="00E76A70" w:rsidRDefault="00826A75" w:rsidP="00273F1C">
            <w:pPr>
              <w:pStyle w:val="TableParagraph"/>
              <w:spacing w:before="99"/>
              <w:ind w:right="99"/>
              <w:rPr>
                <w:sz w:val="18"/>
                <w:szCs w:val="18"/>
              </w:rPr>
            </w:pPr>
            <w:bookmarkStart w:id="0" w:name="_GoBack"/>
            <w:r>
              <w:rPr>
                <w:sz w:val="18"/>
                <w:szCs w:val="18"/>
              </w:rPr>
              <w:t xml:space="preserve">SU ARITMA – YUMUŞATMA CİHAZI </w:t>
            </w:r>
            <w:r w:rsidR="00273F1C">
              <w:rPr>
                <w:sz w:val="18"/>
                <w:szCs w:val="18"/>
              </w:rPr>
              <w:t>TANDEM AYIRMA VALFİ</w:t>
            </w:r>
            <w:bookmarkEnd w:id="0"/>
          </w:p>
        </w:tc>
        <w:tc>
          <w:tcPr>
            <w:tcW w:w="992" w:type="dxa"/>
            <w:vAlign w:val="center"/>
          </w:tcPr>
          <w:p w:rsidR="001920EF" w:rsidRPr="00E76A70" w:rsidRDefault="00826A75" w:rsidP="00140FA8">
            <w:pPr>
              <w:pStyle w:val="TableParagraph"/>
              <w:spacing w:before="80"/>
              <w:ind w:right="114"/>
              <w:jc w:val="center"/>
              <w:rPr>
                <w:sz w:val="18"/>
                <w:szCs w:val="18"/>
              </w:rPr>
            </w:pPr>
            <w:r>
              <w:rPr>
                <w:sz w:val="18"/>
                <w:szCs w:val="18"/>
              </w:rPr>
              <w:t>1</w:t>
            </w:r>
          </w:p>
        </w:tc>
        <w:tc>
          <w:tcPr>
            <w:tcW w:w="851" w:type="dxa"/>
            <w:vAlign w:val="center"/>
          </w:tcPr>
          <w:p w:rsidR="001920EF" w:rsidRPr="00E76A70" w:rsidRDefault="00140FA8" w:rsidP="0088714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826A75">
        <w:trPr>
          <w:trHeight w:val="525"/>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r w:rsidR="00D0725C">
              <w:rPr>
                <w:b/>
                <w:w w:val="95"/>
                <w:sz w:val="18"/>
                <w:szCs w:val="18"/>
              </w:rPr>
              <w:t>:</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887145">
        <w:rPr>
          <w:b/>
          <w:sz w:val="20"/>
          <w:szCs w:val="20"/>
          <w:u w:val="thick"/>
        </w:rPr>
        <w:t>Genel Bütçe</w:t>
      </w:r>
      <w:r w:rsidRPr="005770E5">
        <w:rPr>
          <w:b/>
          <w:sz w:val="20"/>
          <w:szCs w:val="20"/>
        </w:rPr>
        <w:t xml:space="preserve"> </w:t>
      </w:r>
      <w:r w:rsidRPr="005770E5">
        <w:rPr>
          <w:sz w:val="20"/>
          <w:szCs w:val="20"/>
        </w:rPr>
        <w:t xml:space="preserve">ödemesi olarak ortalama </w:t>
      </w:r>
      <w:r w:rsidR="00887145">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273F1C" w:rsidP="009C3BAD">
      <w:pPr>
        <w:rPr>
          <w:sz w:val="20"/>
        </w:rPr>
      </w:pPr>
      <w:r w:rsidRPr="00273F1C">
        <w:rPr>
          <w:noProof/>
          <w:sz w:val="20"/>
          <w:lang w:eastAsia="tr-TR"/>
        </w:rPr>
        <w:lastRenderedPageBreak/>
        <w:drawing>
          <wp:inline distT="0" distB="0" distL="0" distR="0">
            <wp:extent cx="6661150" cy="311895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3118952"/>
                    </a:xfrm>
                    <a:prstGeom prst="rect">
                      <a:avLst/>
                    </a:prstGeom>
                    <a:noFill/>
                    <a:ln>
                      <a:noFill/>
                    </a:ln>
                  </pic:spPr>
                </pic:pic>
              </a:graphicData>
            </a:graphic>
          </wp:inline>
        </w:drawing>
      </w:r>
    </w:p>
    <w:p w:rsidR="00450EA9" w:rsidRPr="00450EA9" w:rsidRDefault="00450EA9" w:rsidP="00450EA9">
      <w:pPr>
        <w:rPr>
          <w:sz w:val="20"/>
        </w:rPr>
      </w:pPr>
    </w:p>
    <w:p w:rsidR="00450EA9" w:rsidRP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885BC6">
      <w:pgSz w:w="11880" w:h="16780"/>
      <w:pgMar w:top="1135"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6C19"/>
    <w:rsid w:val="0004244F"/>
    <w:rsid w:val="000A7B85"/>
    <w:rsid w:val="000C4F56"/>
    <w:rsid w:val="001307A2"/>
    <w:rsid w:val="00140FA8"/>
    <w:rsid w:val="001920EF"/>
    <w:rsid w:val="001C1EF2"/>
    <w:rsid w:val="001F6308"/>
    <w:rsid w:val="0021016D"/>
    <w:rsid w:val="00214C6B"/>
    <w:rsid w:val="0024638B"/>
    <w:rsid w:val="00263492"/>
    <w:rsid w:val="00273F1C"/>
    <w:rsid w:val="0027484D"/>
    <w:rsid w:val="00292C8D"/>
    <w:rsid w:val="002C3839"/>
    <w:rsid w:val="002D39D5"/>
    <w:rsid w:val="002D4220"/>
    <w:rsid w:val="0031120E"/>
    <w:rsid w:val="00336C86"/>
    <w:rsid w:val="003420F5"/>
    <w:rsid w:val="003E7A33"/>
    <w:rsid w:val="00403AD5"/>
    <w:rsid w:val="00411997"/>
    <w:rsid w:val="004255EF"/>
    <w:rsid w:val="00450EA9"/>
    <w:rsid w:val="004670B7"/>
    <w:rsid w:val="004C07F7"/>
    <w:rsid w:val="004C415A"/>
    <w:rsid w:val="00542E9D"/>
    <w:rsid w:val="005770E5"/>
    <w:rsid w:val="005C45D6"/>
    <w:rsid w:val="00613445"/>
    <w:rsid w:val="00646BCE"/>
    <w:rsid w:val="00703687"/>
    <w:rsid w:val="007412DD"/>
    <w:rsid w:val="007A0551"/>
    <w:rsid w:val="007E631C"/>
    <w:rsid w:val="007F35D6"/>
    <w:rsid w:val="007F58E0"/>
    <w:rsid w:val="00802B6E"/>
    <w:rsid w:val="0081279D"/>
    <w:rsid w:val="00826A75"/>
    <w:rsid w:val="00826D50"/>
    <w:rsid w:val="0084079C"/>
    <w:rsid w:val="00885BC6"/>
    <w:rsid w:val="00887145"/>
    <w:rsid w:val="008E14DB"/>
    <w:rsid w:val="00901C80"/>
    <w:rsid w:val="00906EF9"/>
    <w:rsid w:val="009C3BAD"/>
    <w:rsid w:val="00A31EF3"/>
    <w:rsid w:val="00A560F2"/>
    <w:rsid w:val="00A64237"/>
    <w:rsid w:val="00AC58B9"/>
    <w:rsid w:val="00BF39CF"/>
    <w:rsid w:val="00C21197"/>
    <w:rsid w:val="00D0725C"/>
    <w:rsid w:val="00D22926"/>
    <w:rsid w:val="00D2387D"/>
    <w:rsid w:val="00D40146"/>
    <w:rsid w:val="00D56CA5"/>
    <w:rsid w:val="00D87735"/>
    <w:rsid w:val="00DE6F1B"/>
    <w:rsid w:val="00E24221"/>
    <w:rsid w:val="00E3637D"/>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CD495-DCFF-4274-8F86-52D55DA4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2</cp:revision>
  <cp:lastPrinted>2022-01-31T08:29:00Z</cp:lastPrinted>
  <dcterms:created xsi:type="dcterms:W3CDTF">2022-09-02T11:47:00Z</dcterms:created>
  <dcterms:modified xsi:type="dcterms:W3CDTF">2022-09-02T11:47:00Z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