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E32649">
            <w:pPr>
              <w:pStyle w:val="TableParagraph"/>
              <w:spacing w:line="256" w:lineRule="exact"/>
              <w:ind w:left="108"/>
              <w:rPr>
                <w:b/>
                <w:sz w:val="24"/>
              </w:rPr>
            </w:pPr>
            <w:r>
              <w:rPr>
                <w:b/>
                <w:sz w:val="24"/>
              </w:rPr>
              <w:t>02</w:t>
            </w:r>
            <w:r w:rsidR="002D39D5">
              <w:rPr>
                <w:b/>
                <w:sz w:val="24"/>
              </w:rPr>
              <w:t>.08</w:t>
            </w:r>
            <w:r w:rsidR="00F86D2D" w:rsidRPr="007A0551">
              <w:rPr>
                <w:b/>
                <w:sz w:val="24"/>
              </w:rPr>
              <w:t>.</w:t>
            </w:r>
            <w:proofErr w:type="gramStart"/>
            <w:r w:rsidR="00F86D2D" w:rsidRPr="007A0551">
              <w:rPr>
                <w:b/>
                <w:sz w:val="24"/>
              </w:rPr>
              <w:t xml:space="preserve">2022 </w:t>
            </w:r>
            <w:r w:rsidR="00140FA8" w:rsidRPr="007A0551">
              <w:rPr>
                <w:b/>
                <w:sz w:val="24"/>
              </w:rPr>
              <w:t xml:space="preserve">     </w:t>
            </w:r>
            <w:r>
              <w:rPr>
                <w:b/>
                <w:sz w:val="24"/>
              </w:rPr>
              <w:t>12</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414185">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414185">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87145" w:rsidP="003E7A33">
            <w:pPr>
              <w:pStyle w:val="TableParagraph"/>
              <w:spacing w:line="256" w:lineRule="exact"/>
              <w:rPr>
                <w:b/>
                <w:sz w:val="24"/>
              </w:rPr>
            </w:pPr>
            <w:r>
              <w:rPr>
                <w:b/>
                <w:sz w:val="24"/>
              </w:rPr>
              <w:t xml:space="preserve"> </w:t>
            </w:r>
            <w:r w:rsidR="00E32649">
              <w:rPr>
                <w:b/>
                <w:sz w:val="24"/>
              </w:rPr>
              <w:t>278</w:t>
            </w:r>
          </w:p>
        </w:tc>
      </w:tr>
    </w:tbl>
    <w:p w:rsidR="00E24221" w:rsidRPr="00E32649" w:rsidRDefault="00E32649" w:rsidP="00E24221">
      <w:pPr>
        <w:pStyle w:val="KonuBal"/>
        <w:rPr>
          <w:color w:val="FF0000"/>
        </w:rPr>
      </w:pPr>
      <w:proofErr w:type="gramStart"/>
      <w:r w:rsidRPr="00E32649">
        <w:rPr>
          <w:color w:val="FF0000"/>
        </w:rPr>
        <w:t>NOT:TEKNİK</w:t>
      </w:r>
      <w:proofErr w:type="gramEnd"/>
      <w:r w:rsidRPr="00E32649">
        <w:rPr>
          <w:color w:val="FF0000"/>
        </w:rPr>
        <w:t xml:space="preserve">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414185">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D0725C" w:rsidRPr="00E76A70" w:rsidRDefault="00E32649" w:rsidP="00E67062">
            <w:pPr>
              <w:pStyle w:val="TableParagraph"/>
              <w:spacing w:before="99"/>
              <w:ind w:right="99"/>
              <w:rPr>
                <w:sz w:val="18"/>
                <w:szCs w:val="18"/>
              </w:rPr>
            </w:pPr>
            <w:r>
              <w:rPr>
                <w:sz w:val="18"/>
                <w:szCs w:val="18"/>
              </w:rPr>
              <w:t>HEMODİYALİZ KARTUŞ FİLTRE İPLİK SARMA POLİPROPİPİLEN GÖVDE GEÇİRGENLİK 25 MİKRON BOYU 20 İNÇ</w:t>
            </w:r>
          </w:p>
        </w:tc>
        <w:tc>
          <w:tcPr>
            <w:tcW w:w="992" w:type="dxa"/>
            <w:vAlign w:val="center"/>
          </w:tcPr>
          <w:p w:rsidR="001920EF" w:rsidRPr="00E76A70" w:rsidRDefault="00E32649" w:rsidP="00140FA8">
            <w:pPr>
              <w:pStyle w:val="TableParagraph"/>
              <w:spacing w:before="80"/>
              <w:ind w:right="114"/>
              <w:jc w:val="center"/>
              <w:rPr>
                <w:sz w:val="18"/>
                <w:szCs w:val="18"/>
              </w:rPr>
            </w:pPr>
            <w:r>
              <w:rPr>
                <w:sz w:val="18"/>
                <w:szCs w:val="18"/>
              </w:rPr>
              <w:t>50</w:t>
            </w:r>
          </w:p>
        </w:tc>
        <w:tc>
          <w:tcPr>
            <w:tcW w:w="851" w:type="dxa"/>
            <w:vAlign w:val="center"/>
          </w:tcPr>
          <w:p w:rsidR="001920EF" w:rsidRPr="00E76A70" w:rsidRDefault="00140FA8" w:rsidP="0041418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E32649" w:rsidTr="00414185">
        <w:trPr>
          <w:trHeight w:val="281"/>
        </w:trPr>
        <w:tc>
          <w:tcPr>
            <w:tcW w:w="433" w:type="dxa"/>
            <w:vAlign w:val="center"/>
          </w:tcPr>
          <w:p w:rsidR="00E32649" w:rsidRPr="00E76A70" w:rsidRDefault="00E32649" w:rsidP="00E32649">
            <w:pPr>
              <w:pStyle w:val="TableParagraph"/>
              <w:spacing w:before="117"/>
              <w:ind w:left="30"/>
              <w:jc w:val="center"/>
              <w:rPr>
                <w:w w:val="99"/>
                <w:sz w:val="18"/>
                <w:szCs w:val="18"/>
              </w:rPr>
            </w:pPr>
            <w:r>
              <w:rPr>
                <w:w w:val="99"/>
                <w:sz w:val="18"/>
                <w:szCs w:val="18"/>
              </w:rPr>
              <w:t>2</w:t>
            </w:r>
          </w:p>
        </w:tc>
        <w:tc>
          <w:tcPr>
            <w:tcW w:w="5946" w:type="dxa"/>
            <w:vAlign w:val="center"/>
          </w:tcPr>
          <w:p w:rsidR="00E32649" w:rsidRPr="00E76A70" w:rsidRDefault="00E32649" w:rsidP="00E32649">
            <w:pPr>
              <w:pStyle w:val="TableParagraph"/>
              <w:spacing w:before="99"/>
              <w:ind w:right="99"/>
              <w:rPr>
                <w:sz w:val="18"/>
                <w:szCs w:val="18"/>
              </w:rPr>
            </w:pPr>
            <w:r>
              <w:rPr>
                <w:sz w:val="18"/>
                <w:szCs w:val="18"/>
              </w:rPr>
              <w:t>HEMODİYALİZ KARTUŞ FİLTRE İPLİK SARMA POL</w:t>
            </w:r>
            <w:r>
              <w:rPr>
                <w:sz w:val="18"/>
                <w:szCs w:val="18"/>
              </w:rPr>
              <w:t>İPROPİPİLEN GÖVDE GEÇİRGENLİK 20</w:t>
            </w:r>
            <w:r>
              <w:rPr>
                <w:sz w:val="18"/>
                <w:szCs w:val="18"/>
              </w:rPr>
              <w:t xml:space="preserve"> MİKRON BOYU 20 İNÇ</w:t>
            </w:r>
          </w:p>
        </w:tc>
        <w:tc>
          <w:tcPr>
            <w:tcW w:w="992" w:type="dxa"/>
            <w:vAlign w:val="center"/>
          </w:tcPr>
          <w:p w:rsidR="00E32649" w:rsidRDefault="00E32649" w:rsidP="00E32649">
            <w:pPr>
              <w:pStyle w:val="TableParagraph"/>
              <w:spacing w:before="80"/>
              <w:ind w:right="114"/>
              <w:jc w:val="center"/>
              <w:rPr>
                <w:sz w:val="18"/>
                <w:szCs w:val="18"/>
              </w:rPr>
            </w:pPr>
            <w:r>
              <w:rPr>
                <w:sz w:val="18"/>
                <w:szCs w:val="18"/>
              </w:rPr>
              <w:t>50</w:t>
            </w:r>
          </w:p>
        </w:tc>
        <w:tc>
          <w:tcPr>
            <w:tcW w:w="851" w:type="dxa"/>
            <w:vAlign w:val="center"/>
          </w:tcPr>
          <w:p w:rsidR="00E32649" w:rsidRDefault="00E32649" w:rsidP="00414185">
            <w:pPr>
              <w:jc w:val="center"/>
            </w:pPr>
            <w:r w:rsidRPr="00DA24B0">
              <w:rPr>
                <w:sz w:val="18"/>
                <w:szCs w:val="18"/>
              </w:rPr>
              <w:t>ADET</w:t>
            </w:r>
          </w:p>
        </w:tc>
        <w:tc>
          <w:tcPr>
            <w:tcW w:w="992" w:type="dxa"/>
            <w:vAlign w:val="center"/>
          </w:tcPr>
          <w:p w:rsidR="00E32649" w:rsidRPr="00E76A70" w:rsidRDefault="00E32649" w:rsidP="00E32649">
            <w:pPr>
              <w:pStyle w:val="TableParagraph"/>
              <w:jc w:val="center"/>
              <w:rPr>
                <w:sz w:val="18"/>
                <w:szCs w:val="18"/>
              </w:rPr>
            </w:pPr>
          </w:p>
        </w:tc>
        <w:tc>
          <w:tcPr>
            <w:tcW w:w="1276" w:type="dxa"/>
            <w:vAlign w:val="center"/>
          </w:tcPr>
          <w:p w:rsidR="00E32649" w:rsidRPr="00E76A70" w:rsidRDefault="00E32649" w:rsidP="00E32649">
            <w:pPr>
              <w:pStyle w:val="TableParagraph"/>
              <w:jc w:val="center"/>
              <w:rPr>
                <w:sz w:val="18"/>
                <w:szCs w:val="18"/>
              </w:rPr>
            </w:pPr>
          </w:p>
        </w:tc>
      </w:tr>
      <w:tr w:rsidR="00E32649" w:rsidTr="00414185">
        <w:trPr>
          <w:trHeight w:val="281"/>
        </w:trPr>
        <w:tc>
          <w:tcPr>
            <w:tcW w:w="433" w:type="dxa"/>
            <w:vAlign w:val="center"/>
          </w:tcPr>
          <w:p w:rsidR="00E32649" w:rsidRPr="00E76A70" w:rsidRDefault="00E32649" w:rsidP="00E32649">
            <w:pPr>
              <w:pStyle w:val="TableParagraph"/>
              <w:spacing w:before="117"/>
              <w:ind w:left="30"/>
              <w:jc w:val="center"/>
              <w:rPr>
                <w:w w:val="99"/>
                <w:sz w:val="18"/>
                <w:szCs w:val="18"/>
              </w:rPr>
            </w:pPr>
            <w:r>
              <w:rPr>
                <w:w w:val="99"/>
                <w:sz w:val="18"/>
                <w:szCs w:val="18"/>
              </w:rPr>
              <w:t>3</w:t>
            </w:r>
          </w:p>
        </w:tc>
        <w:tc>
          <w:tcPr>
            <w:tcW w:w="5946" w:type="dxa"/>
            <w:vAlign w:val="center"/>
          </w:tcPr>
          <w:p w:rsidR="00E32649" w:rsidRPr="00E76A70" w:rsidRDefault="00E32649" w:rsidP="00E32649">
            <w:pPr>
              <w:pStyle w:val="TableParagraph"/>
              <w:spacing w:before="99"/>
              <w:ind w:right="99"/>
              <w:rPr>
                <w:sz w:val="18"/>
                <w:szCs w:val="18"/>
              </w:rPr>
            </w:pPr>
            <w:r>
              <w:rPr>
                <w:sz w:val="18"/>
                <w:szCs w:val="18"/>
              </w:rPr>
              <w:t>HEMODİYALİZ KARTUŞ FİLTRE İPLİK SARMA PO</w:t>
            </w:r>
            <w:r>
              <w:rPr>
                <w:sz w:val="18"/>
                <w:szCs w:val="18"/>
              </w:rPr>
              <w:t xml:space="preserve">LİPROPİPİLEN GÖVDE GEÇİRGENLİK </w:t>
            </w:r>
            <w:r>
              <w:rPr>
                <w:sz w:val="18"/>
                <w:szCs w:val="18"/>
              </w:rPr>
              <w:t>5 MİKRON BOYU 20 İNÇ</w:t>
            </w:r>
          </w:p>
        </w:tc>
        <w:tc>
          <w:tcPr>
            <w:tcW w:w="992" w:type="dxa"/>
            <w:vAlign w:val="center"/>
          </w:tcPr>
          <w:p w:rsidR="00E32649" w:rsidRDefault="00E32649" w:rsidP="00E32649">
            <w:pPr>
              <w:pStyle w:val="TableParagraph"/>
              <w:spacing w:before="80"/>
              <w:ind w:right="114"/>
              <w:jc w:val="center"/>
              <w:rPr>
                <w:sz w:val="18"/>
                <w:szCs w:val="18"/>
              </w:rPr>
            </w:pPr>
            <w:r>
              <w:rPr>
                <w:sz w:val="18"/>
                <w:szCs w:val="18"/>
              </w:rPr>
              <w:t>50</w:t>
            </w:r>
          </w:p>
        </w:tc>
        <w:tc>
          <w:tcPr>
            <w:tcW w:w="851" w:type="dxa"/>
            <w:vAlign w:val="center"/>
          </w:tcPr>
          <w:p w:rsidR="00E32649" w:rsidRDefault="00E32649" w:rsidP="00414185">
            <w:pPr>
              <w:jc w:val="center"/>
            </w:pPr>
            <w:r w:rsidRPr="00DA24B0">
              <w:rPr>
                <w:sz w:val="18"/>
                <w:szCs w:val="18"/>
              </w:rPr>
              <w:t>ADET</w:t>
            </w:r>
          </w:p>
        </w:tc>
        <w:tc>
          <w:tcPr>
            <w:tcW w:w="992" w:type="dxa"/>
            <w:vAlign w:val="center"/>
          </w:tcPr>
          <w:p w:rsidR="00E32649" w:rsidRPr="00E76A70" w:rsidRDefault="00E32649" w:rsidP="00E32649">
            <w:pPr>
              <w:pStyle w:val="TableParagraph"/>
              <w:jc w:val="center"/>
              <w:rPr>
                <w:sz w:val="18"/>
                <w:szCs w:val="18"/>
              </w:rPr>
            </w:pPr>
          </w:p>
        </w:tc>
        <w:tc>
          <w:tcPr>
            <w:tcW w:w="1276" w:type="dxa"/>
            <w:vAlign w:val="center"/>
          </w:tcPr>
          <w:p w:rsidR="00E32649" w:rsidRPr="00E76A70" w:rsidRDefault="00E32649" w:rsidP="00E32649">
            <w:pPr>
              <w:pStyle w:val="TableParagraph"/>
              <w:jc w:val="center"/>
              <w:rPr>
                <w:sz w:val="18"/>
                <w:szCs w:val="18"/>
              </w:rPr>
            </w:pPr>
          </w:p>
        </w:tc>
      </w:tr>
      <w:tr w:rsidR="00E32649" w:rsidTr="00414185">
        <w:trPr>
          <w:trHeight w:val="281"/>
        </w:trPr>
        <w:tc>
          <w:tcPr>
            <w:tcW w:w="433" w:type="dxa"/>
            <w:vAlign w:val="center"/>
          </w:tcPr>
          <w:p w:rsidR="00E32649" w:rsidRPr="00E76A70" w:rsidRDefault="00E32649" w:rsidP="00E32649">
            <w:pPr>
              <w:pStyle w:val="TableParagraph"/>
              <w:spacing w:before="117"/>
              <w:ind w:left="30"/>
              <w:jc w:val="center"/>
              <w:rPr>
                <w:w w:val="99"/>
                <w:sz w:val="18"/>
                <w:szCs w:val="18"/>
              </w:rPr>
            </w:pPr>
            <w:r>
              <w:rPr>
                <w:w w:val="99"/>
                <w:sz w:val="18"/>
                <w:szCs w:val="18"/>
              </w:rPr>
              <w:t>4</w:t>
            </w:r>
          </w:p>
        </w:tc>
        <w:tc>
          <w:tcPr>
            <w:tcW w:w="5946" w:type="dxa"/>
            <w:vAlign w:val="center"/>
          </w:tcPr>
          <w:p w:rsidR="00E32649" w:rsidRPr="00E76A70" w:rsidRDefault="00E32649" w:rsidP="00E32649">
            <w:pPr>
              <w:pStyle w:val="TableParagraph"/>
              <w:spacing w:before="99"/>
              <w:ind w:right="99"/>
              <w:rPr>
                <w:sz w:val="18"/>
                <w:szCs w:val="18"/>
              </w:rPr>
            </w:pPr>
            <w:r>
              <w:rPr>
                <w:sz w:val="18"/>
                <w:szCs w:val="18"/>
              </w:rPr>
              <w:t>HEMODİYALİZ KARTUŞ FİLTRE İPLİK SARMA POL</w:t>
            </w:r>
            <w:r>
              <w:rPr>
                <w:sz w:val="18"/>
                <w:szCs w:val="18"/>
              </w:rPr>
              <w:t>İPROPİPİLEN GÖVDE GEÇİRGENLİK 1</w:t>
            </w:r>
            <w:r>
              <w:rPr>
                <w:sz w:val="18"/>
                <w:szCs w:val="18"/>
              </w:rPr>
              <w:t xml:space="preserve"> MİKRON BOYU 20 İNÇ</w:t>
            </w:r>
          </w:p>
        </w:tc>
        <w:tc>
          <w:tcPr>
            <w:tcW w:w="992" w:type="dxa"/>
            <w:vAlign w:val="center"/>
          </w:tcPr>
          <w:p w:rsidR="00E32649" w:rsidRDefault="00E32649" w:rsidP="00E32649">
            <w:pPr>
              <w:pStyle w:val="TableParagraph"/>
              <w:spacing w:before="80"/>
              <w:ind w:right="114"/>
              <w:jc w:val="center"/>
              <w:rPr>
                <w:sz w:val="18"/>
                <w:szCs w:val="18"/>
              </w:rPr>
            </w:pPr>
            <w:r>
              <w:rPr>
                <w:sz w:val="18"/>
                <w:szCs w:val="18"/>
              </w:rPr>
              <w:t>25</w:t>
            </w:r>
          </w:p>
        </w:tc>
        <w:tc>
          <w:tcPr>
            <w:tcW w:w="851" w:type="dxa"/>
            <w:vAlign w:val="center"/>
          </w:tcPr>
          <w:p w:rsidR="00E32649" w:rsidRDefault="00E32649" w:rsidP="00414185">
            <w:pPr>
              <w:jc w:val="center"/>
            </w:pPr>
            <w:r w:rsidRPr="00DA24B0">
              <w:rPr>
                <w:sz w:val="18"/>
                <w:szCs w:val="18"/>
              </w:rPr>
              <w:t>ADET</w:t>
            </w:r>
          </w:p>
        </w:tc>
        <w:tc>
          <w:tcPr>
            <w:tcW w:w="992" w:type="dxa"/>
            <w:vAlign w:val="center"/>
          </w:tcPr>
          <w:p w:rsidR="00E32649" w:rsidRPr="00E76A70" w:rsidRDefault="00E32649" w:rsidP="00E32649">
            <w:pPr>
              <w:pStyle w:val="TableParagraph"/>
              <w:jc w:val="center"/>
              <w:rPr>
                <w:sz w:val="18"/>
                <w:szCs w:val="18"/>
              </w:rPr>
            </w:pPr>
          </w:p>
        </w:tc>
        <w:tc>
          <w:tcPr>
            <w:tcW w:w="1276" w:type="dxa"/>
            <w:vAlign w:val="center"/>
          </w:tcPr>
          <w:p w:rsidR="00E32649" w:rsidRPr="00E76A70" w:rsidRDefault="00E32649" w:rsidP="00E32649">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bookmarkStart w:id="0" w:name="_GoBack"/>
            <w:bookmarkEnd w:id="0"/>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E32649">
        <w:rPr>
          <w:b/>
          <w:sz w:val="20"/>
          <w:szCs w:val="20"/>
          <w:u w:val="thick"/>
        </w:rPr>
        <w:t>DÖNER SERMAYE</w:t>
      </w:r>
      <w:r w:rsidRPr="005770E5">
        <w:rPr>
          <w:b/>
          <w:sz w:val="20"/>
          <w:szCs w:val="20"/>
        </w:rPr>
        <w:t xml:space="preserve"> </w:t>
      </w:r>
      <w:r w:rsidRPr="005770E5">
        <w:rPr>
          <w:sz w:val="20"/>
          <w:szCs w:val="20"/>
        </w:rPr>
        <w:t xml:space="preserve">ödemesi olarak ortalama </w:t>
      </w:r>
      <w:r w:rsidR="00E32649">
        <w:rPr>
          <w:b/>
          <w:sz w:val="20"/>
          <w:szCs w:val="20"/>
        </w:rPr>
        <w:t>12</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E32649" w:rsidP="009C3BAD">
      <w:pPr>
        <w:rPr>
          <w:sz w:val="20"/>
        </w:rPr>
      </w:pPr>
      <w:r>
        <w:rPr>
          <w:noProof/>
          <w:lang w:eastAsia="tr-TR"/>
        </w:rPr>
        <w:lastRenderedPageBreak/>
        <w:drawing>
          <wp:inline distT="0" distB="0" distL="0" distR="0" wp14:anchorId="3E598885" wp14:editId="5F94F6E7">
            <wp:extent cx="5695950" cy="6696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6696075"/>
                    </a:xfrm>
                    <a:prstGeom prst="rect">
                      <a:avLst/>
                    </a:prstGeom>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04244F">
      <w:pgSz w:w="11880" w:h="16780"/>
      <w:pgMar w:top="0"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2D39D5"/>
    <w:rsid w:val="00336C86"/>
    <w:rsid w:val="003420F5"/>
    <w:rsid w:val="003E7A33"/>
    <w:rsid w:val="00403AD5"/>
    <w:rsid w:val="00411997"/>
    <w:rsid w:val="00414185"/>
    <w:rsid w:val="004255EF"/>
    <w:rsid w:val="00450EA9"/>
    <w:rsid w:val="004670B7"/>
    <w:rsid w:val="004C07F7"/>
    <w:rsid w:val="004C415A"/>
    <w:rsid w:val="00542E9D"/>
    <w:rsid w:val="005770E5"/>
    <w:rsid w:val="005C45D6"/>
    <w:rsid w:val="00613445"/>
    <w:rsid w:val="00646BCE"/>
    <w:rsid w:val="00703687"/>
    <w:rsid w:val="007412DD"/>
    <w:rsid w:val="007A0551"/>
    <w:rsid w:val="007F35D6"/>
    <w:rsid w:val="007F58E0"/>
    <w:rsid w:val="0081279D"/>
    <w:rsid w:val="00826D50"/>
    <w:rsid w:val="0084079C"/>
    <w:rsid w:val="00887145"/>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2649"/>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AC3F5-04FE-4F14-BBC7-DFE792B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2022-08-01T06:33:00Z</dcterms:created>
  <dcterms:modified xsi:type="dcterms:W3CDTF">2022-08-01T06:33:00Z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