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D0725C">
            <w:pPr>
              <w:pStyle w:val="TableParagraph"/>
              <w:spacing w:line="256" w:lineRule="exact"/>
              <w:ind w:left="108"/>
              <w:rPr>
                <w:b/>
                <w:sz w:val="24"/>
              </w:rPr>
            </w:pPr>
            <w:r w:rsidRPr="007A0551">
              <w:rPr>
                <w:b/>
                <w:sz w:val="24"/>
              </w:rPr>
              <w:t>28.07</w:t>
            </w:r>
            <w:r w:rsidR="00F86D2D" w:rsidRPr="007A0551">
              <w:rPr>
                <w:b/>
                <w:sz w:val="24"/>
              </w:rPr>
              <w:t>.</w:t>
            </w:r>
            <w:proofErr w:type="gramStart"/>
            <w:r w:rsidR="00F86D2D" w:rsidRPr="007A0551">
              <w:rPr>
                <w:b/>
                <w:sz w:val="24"/>
              </w:rPr>
              <w:t xml:space="preserve">2022 </w:t>
            </w:r>
            <w:r w:rsidR="00140FA8" w:rsidRPr="007A0551">
              <w:rPr>
                <w:b/>
                <w:sz w:val="24"/>
              </w:rPr>
              <w:t xml:space="preserve">     </w:t>
            </w:r>
            <w:r w:rsidR="00887145" w:rsidRPr="007A0551">
              <w:rPr>
                <w:b/>
                <w:sz w:val="24"/>
              </w:rPr>
              <w:t>10</w:t>
            </w:r>
            <w:bookmarkStart w:id="0" w:name="_GoBack"/>
            <w:bookmarkEnd w:id="0"/>
            <w:proofErr w:type="gramEnd"/>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411997">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411997">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887145" w:rsidP="003E7A33">
            <w:pPr>
              <w:pStyle w:val="TableParagraph"/>
              <w:spacing w:line="256" w:lineRule="exact"/>
              <w:rPr>
                <w:b/>
                <w:sz w:val="24"/>
              </w:rPr>
            </w:pPr>
            <w:r>
              <w:rPr>
                <w:b/>
                <w:sz w:val="24"/>
              </w:rPr>
              <w:t xml:space="preserve"> </w:t>
            </w:r>
            <w:r w:rsidR="007A0551">
              <w:rPr>
                <w:b/>
                <w:sz w:val="24"/>
              </w:rPr>
              <w:t>265</w:t>
            </w: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40FA8">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40FA8" w:rsidRDefault="00D0725C" w:rsidP="00E67062">
            <w:pPr>
              <w:pStyle w:val="TableParagraph"/>
              <w:spacing w:before="99"/>
              <w:ind w:right="99"/>
              <w:rPr>
                <w:sz w:val="18"/>
                <w:szCs w:val="18"/>
              </w:rPr>
            </w:pPr>
            <w:r>
              <w:rPr>
                <w:sz w:val="18"/>
                <w:szCs w:val="18"/>
              </w:rPr>
              <w:t>OTOKLAV ISITICI DİRENÇ / REZİSTANSI (6000 WATT – 380 VOLT)</w:t>
            </w:r>
          </w:p>
          <w:p w:rsidR="00D0725C" w:rsidRPr="00E76A70" w:rsidRDefault="00D0725C" w:rsidP="00E67062">
            <w:pPr>
              <w:pStyle w:val="TableParagraph"/>
              <w:spacing w:before="99"/>
              <w:ind w:right="99"/>
              <w:rPr>
                <w:sz w:val="18"/>
                <w:szCs w:val="18"/>
              </w:rPr>
            </w:pPr>
            <w:r>
              <w:rPr>
                <w:sz w:val="18"/>
                <w:szCs w:val="18"/>
              </w:rPr>
              <w:t>(NÜVE MARKA OT100V MODEL İÇİN)</w:t>
            </w:r>
          </w:p>
        </w:tc>
        <w:tc>
          <w:tcPr>
            <w:tcW w:w="992" w:type="dxa"/>
            <w:vAlign w:val="center"/>
          </w:tcPr>
          <w:p w:rsidR="001920EF" w:rsidRPr="00E76A70" w:rsidRDefault="00D0725C" w:rsidP="00140FA8">
            <w:pPr>
              <w:pStyle w:val="TableParagraph"/>
              <w:spacing w:before="80"/>
              <w:ind w:right="114"/>
              <w:jc w:val="center"/>
              <w:rPr>
                <w:sz w:val="18"/>
                <w:szCs w:val="18"/>
              </w:rPr>
            </w:pPr>
            <w:r>
              <w:rPr>
                <w:sz w:val="18"/>
                <w:szCs w:val="18"/>
              </w:rPr>
              <w:t>1</w:t>
            </w:r>
          </w:p>
        </w:tc>
        <w:tc>
          <w:tcPr>
            <w:tcW w:w="851"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40FA8" w:rsidTr="00140FA8">
        <w:trPr>
          <w:trHeight w:val="355"/>
        </w:trPr>
        <w:tc>
          <w:tcPr>
            <w:tcW w:w="433" w:type="dxa"/>
            <w:vAlign w:val="center"/>
          </w:tcPr>
          <w:p w:rsidR="00140FA8" w:rsidRPr="00E76A70" w:rsidRDefault="00140FA8" w:rsidP="00140FA8">
            <w:pPr>
              <w:pStyle w:val="TableParagraph"/>
              <w:spacing w:before="117"/>
              <w:ind w:left="30"/>
              <w:jc w:val="center"/>
              <w:rPr>
                <w:sz w:val="18"/>
                <w:szCs w:val="18"/>
              </w:rPr>
            </w:pPr>
            <w:r w:rsidRPr="00E76A70">
              <w:rPr>
                <w:w w:val="99"/>
                <w:sz w:val="18"/>
                <w:szCs w:val="18"/>
              </w:rPr>
              <w:t>2</w:t>
            </w:r>
          </w:p>
        </w:tc>
        <w:tc>
          <w:tcPr>
            <w:tcW w:w="5946" w:type="dxa"/>
            <w:vAlign w:val="center"/>
          </w:tcPr>
          <w:p w:rsidR="00D0725C" w:rsidRDefault="00D0725C" w:rsidP="00140FA8">
            <w:pPr>
              <w:pStyle w:val="TableParagraph"/>
              <w:spacing w:before="99"/>
              <w:ind w:right="100"/>
              <w:rPr>
                <w:sz w:val="18"/>
                <w:szCs w:val="18"/>
              </w:rPr>
            </w:pPr>
            <w:r>
              <w:rPr>
                <w:sz w:val="18"/>
                <w:szCs w:val="18"/>
              </w:rPr>
              <w:t>OTOKLAV CİHAZI HEPA FİLTRESİ</w:t>
            </w:r>
          </w:p>
          <w:p w:rsidR="00140FA8" w:rsidRPr="00E76A70" w:rsidRDefault="00D0725C" w:rsidP="00140FA8">
            <w:pPr>
              <w:pStyle w:val="TableParagraph"/>
              <w:spacing w:before="99"/>
              <w:ind w:right="100"/>
              <w:rPr>
                <w:sz w:val="18"/>
                <w:szCs w:val="18"/>
              </w:rPr>
            </w:pPr>
            <w:r>
              <w:rPr>
                <w:sz w:val="18"/>
                <w:szCs w:val="18"/>
              </w:rPr>
              <w:t xml:space="preserve"> (NÜVE MARKA OT100V MODEL İÇİN)</w:t>
            </w:r>
          </w:p>
        </w:tc>
        <w:tc>
          <w:tcPr>
            <w:tcW w:w="992" w:type="dxa"/>
            <w:vAlign w:val="center"/>
          </w:tcPr>
          <w:p w:rsidR="00140FA8" w:rsidRPr="00E76A70" w:rsidRDefault="00D0725C" w:rsidP="00140FA8">
            <w:pPr>
              <w:pStyle w:val="TableParagraph"/>
              <w:spacing w:before="80"/>
              <w:ind w:right="114"/>
              <w:jc w:val="center"/>
              <w:rPr>
                <w:sz w:val="18"/>
                <w:szCs w:val="18"/>
              </w:rPr>
            </w:pPr>
            <w:r>
              <w:rPr>
                <w:sz w:val="18"/>
                <w:szCs w:val="18"/>
              </w:rPr>
              <w:t>1</w:t>
            </w:r>
          </w:p>
        </w:tc>
        <w:tc>
          <w:tcPr>
            <w:tcW w:w="851" w:type="dxa"/>
            <w:vAlign w:val="center"/>
          </w:tcPr>
          <w:p w:rsidR="00140FA8" w:rsidRDefault="00140FA8" w:rsidP="00887145">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D0725C">
        <w:trPr>
          <w:trHeight w:val="594"/>
        </w:trPr>
        <w:tc>
          <w:tcPr>
            <w:tcW w:w="433" w:type="dxa"/>
            <w:vAlign w:val="center"/>
          </w:tcPr>
          <w:p w:rsidR="00140FA8" w:rsidRPr="00E76A70" w:rsidRDefault="00140FA8" w:rsidP="00140FA8">
            <w:pPr>
              <w:pStyle w:val="TableParagraph"/>
              <w:spacing w:before="96"/>
              <w:ind w:left="30"/>
              <w:jc w:val="center"/>
              <w:rPr>
                <w:sz w:val="18"/>
                <w:szCs w:val="18"/>
              </w:rPr>
            </w:pPr>
            <w:r w:rsidRPr="00E76A70">
              <w:rPr>
                <w:w w:val="99"/>
                <w:sz w:val="18"/>
                <w:szCs w:val="18"/>
              </w:rPr>
              <w:t>3</w:t>
            </w:r>
          </w:p>
        </w:tc>
        <w:tc>
          <w:tcPr>
            <w:tcW w:w="5946" w:type="dxa"/>
            <w:vAlign w:val="center"/>
          </w:tcPr>
          <w:p w:rsidR="00140FA8" w:rsidRPr="00E76A70" w:rsidRDefault="00D0725C" w:rsidP="00140FA8">
            <w:pPr>
              <w:pStyle w:val="TableParagraph"/>
              <w:spacing w:before="77"/>
              <w:ind w:right="100"/>
              <w:rPr>
                <w:sz w:val="18"/>
                <w:szCs w:val="18"/>
              </w:rPr>
            </w:pPr>
            <w:r>
              <w:rPr>
                <w:sz w:val="18"/>
                <w:szCs w:val="18"/>
              </w:rPr>
              <w:t>BUHAR OTOKLAVI KAYAR İÇ KAPAK CONTASI – SLİKONLU VE DAİRESEL (NÜVE MARKA OT100V MODEL İÇİN)</w:t>
            </w:r>
          </w:p>
        </w:tc>
        <w:tc>
          <w:tcPr>
            <w:tcW w:w="992" w:type="dxa"/>
            <w:vAlign w:val="center"/>
          </w:tcPr>
          <w:p w:rsidR="00140FA8" w:rsidRPr="00E76A70" w:rsidRDefault="00887145" w:rsidP="00140FA8">
            <w:pPr>
              <w:pStyle w:val="TableParagraph"/>
              <w:spacing w:before="58"/>
              <w:ind w:right="114"/>
              <w:jc w:val="center"/>
              <w:rPr>
                <w:sz w:val="18"/>
                <w:szCs w:val="18"/>
              </w:rPr>
            </w:pPr>
            <w:r>
              <w:rPr>
                <w:sz w:val="18"/>
                <w:szCs w:val="18"/>
              </w:rPr>
              <w:t>1</w:t>
            </w:r>
          </w:p>
        </w:tc>
        <w:tc>
          <w:tcPr>
            <w:tcW w:w="851" w:type="dxa"/>
            <w:vAlign w:val="center"/>
          </w:tcPr>
          <w:p w:rsidR="00140FA8" w:rsidRDefault="00140FA8" w:rsidP="00887145">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D0725C">
        <w:trPr>
          <w:trHeight w:val="546"/>
        </w:trPr>
        <w:tc>
          <w:tcPr>
            <w:tcW w:w="433" w:type="dxa"/>
            <w:vAlign w:val="center"/>
          </w:tcPr>
          <w:p w:rsidR="00140FA8" w:rsidRPr="00E76A70" w:rsidRDefault="00140FA8" w:rsidP="00140FA8">
            <w:pPr>
              <w:pStyle w:val="TableParagraph"/>
              <w:spacing w:before="84"/>
              <w:ind w:left="30"/>
              <w:jc w:val="center"/>
              <w:rPr>
                <w:sz w:val="18"/>
                <w:szCs w:val="18"/>
              </w:rPr>
            </w:pPr>
            <w:r w:rsidRPr="00E76A70">
              <w:rPr>
                <w:w w:val="99"/>
                <w:sz w:val="18"/>
                <w:szCs w:val="18"/>
              </w:rPr>
              <w:t>4</w:t>
            </w:r>
          </w:p>
        </w:tc>
        <w:tc>
          <w:tcPr>
            <w:tcW w:w="5946" w:type="dxa"/>
            <w:vAlign w:val="center"/>
          </w:tcPr>
          <w:p w:rsidR="00140FA8" w:rsidRPr="00E76A70" w:rsidRDefault="00D0725C" w:rsidP="00140FA8">
            <w:pPr>
              <w:pStyle w:val="TableParagraph"/>
              <w:spacing w:line="192" w:lineRule="exact"/>
              <w:ind w:right="100"/>
              <w:rPr>
                <w:sz w:val="18"/>
                <w:szCs w:val="18"/>
              </w:rPr>
            </w:pPr>
            <w:r>
              <w:rPr>
                <w:sz w:val="18"/>
                <w:szCs w:val="18"/>
              </w:rPr>
              <w:t>BUHAR OTOKLAVI KAYAR İÇ KAPAK CONTASI – SLİKONLU VE DAİRESEL (NÜVE MARKA OT90L MODEL İÇİN)</w:t>
            </w:r>
          </w:p>
        </w:tc>
        <w:tc>
          <w:tcPr>
            <w:tcW w:w="992" w:type="dxa"/>
            <w:vAlign w:val="center"/>
          </w:tcPr>
          <w:p w:rsidR="00140FA8" w:rsidRPr="00E76A70" w:rsidRDefault="00D0725C" w:rsidP="00140FA8">
            <w:pPr>
              <w:pStyle w:val="TableParagraph"/>
              <w:spacing w:before="46"/>
              <w:ind w:right="114"/>
              <w:jc w:val="center"/>
              <w:rPr>
                <w:sz w:val="18"/>
                <w:szCs w:val="18"/>
              </w:rPr>
            </w:pPr>
            <w:r>
              <w:rPr>
                <w:sz w:val="18"/>
                <w:szCs w:val="18"/>
              </w:rPr>
              <w:t>1</w:t>
            </w:r>
          </w:p>
        </w:tc>
        <w:tc>
          <w:tcPr>
            <w:tcW w:w="851" w:type="dxa"/>
            <w:vAlign w:val="center"/>
          </w:tcPr>
          <w:p w:rsidR="00140FA8" w:rsidRDefault="00D0725C" w:rsidP="00887145">
            <w:pPr>
              <w:jc w:val="center"/>
            </w:pPr>
            <w:r>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887145">
        <w:rPr>
          <w:b/>
          <w:sz w:val="20"/>
          <w:szCs w:val="20"/>
          <w:u w:val="thick"/>
        </w:rPr>
        <w:t>Genel Bütçe</w:t>
      </w:r>
      <w:r w:rsidRPr="005770E5">
        <w:rPr>
          <w:b/>
          <w:sz w:val="20"/>
          <w:szCs w:val="20"/>
        </w:rPr>
        <w:t xml:space="preserve"> </w:t>
      </w:r>
      <w:r w:rsidRPr="005770E5">
        <w:rPr>
          <w:sz w:val="20"/>
          <w:szCs w:val="20"/>
        </w:rPr>
        <w:t xml:space="preserve">ödemesi olarak ortalama </w:t>
      </w:r>
      <w:r w:rsidR="00887145">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1F6308" w:rsidP="009C3BAD">
      <w:pPr>
        <w:rPr>
          <w:sz w:val="20"/>
        </w:rPr>
      </w:pPr>
      <w:r>
        <w:rPr>
          <w:noProof/>
          <w:sz w:val="20"/>
          <w:lang w:eastAsia="tr-TR"/>
        </w:rPr>
        <w:lastRenderedPageBreak/>
        <w:drawing>
          <wp:inline distT="0" distB="0" distL="0" distR="0">
            <wp:extent cx="6661150" cy="2022032"/>
            <wp:effectExtent l="1905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1150" cy="2022032"/>
                    </a:xfrm>
                    <a:prstGeom prst="rect">
                      <a:avLst/>
                    </a:prstGeom>
                    <a:noFill/>
                    <a:ln w="9525">
                      <a:noFill/>
                      <a:miter lim="800000"/>
                      <a:headEnd/>
                      <a:tailEnd/>
                    </a:ln>
                  </pic:spPr>
                </pic:pic>
              </a:graphicData>
            </a:graphic>
          </wp:inline>
        </w:drawing>
      </w:r>
    </w:p>
    <w:p w:rsidR="00D40146" w:rsidRDefault="00D40146" w:rsidP="00D2387D">
      <w:pPr>
        <w:rPr>
          <w:sz w:val="20"/>
        </w:rPr>
      </w:pPr>
    </w:p>
    <w:p w:rsidR="00450EA9" w:rsidRDefault="002C3839" w:rsidP="00D2387D">
      <w:pPr>
        <w:rPr>
          <w:sz w:val="20"/>
        </w:rPr>
      </w:pPr>
      <w:r>
        <w:rPr>
          <w:noProof/>
          <w:sz w:val="20"/>
          <w:lang w:eastAsia="tr-TR"/>
        </w:rPr>
        <w:drawing>
          <wp:inline distT="0" distB="0" distL="0" distR="0">
            <wp:extent cx="6661150" cy="2163248"/>
            <wp:effectExtent l="1905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661150" cy="2163248"/>
                    </a:xfrm>
                    <a:prstGeom prst="rect">
                      <a:avLst/>
                    </a:prstGeom>
                    <a:noFill/>
                    <a:ln w="9525">
                      <a:noFill/>
                      <a:miter lim="800000"/>
                      <a:headEnd/>
                      <a:tailEnd/>
                    </a:ln>
                  </pic:spPr>
                </pic:pic>
              </a:graphicData>
            </a:graphic>
          </wp:inline>
        </w:drawing>
      </w:r>
    </w:p>
    <w:p w:rsidR="00450EA9" w:rsidRPr="00450EA9" w:rsidRDefault="007F35D6" w:rsidP="00450EA9">
      <w:pPr>
        <w:rPr>
          <w:sz w:val="20"/>
        </w:rPr>
      </w:pPr>
      <w:r>
        <w:rPr>
          <w:noProof/>
          <w:sz w:val="20"/>
          <w:lang w:eastAsia="tr-TR"/>
        </w:rPr>
        <w:drawing>
          <wp:inline distT="0" distB="0" distL="0" distR="0">
            <wp:extent cx="6661150" cy="2060088"/>
            <wp:effectExtent l="1905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661150" cy="2060088"/>
                    </a:xfrm>
                    <a:prstGeom prst="rect">
                      <a:avLst/>
                    </a:prstGeom>
                    <a:noFill/>
                    <a:ln w="9525">
                      <a:noFill/>
                      <a:miter lim="800000"/>
                      <a:headEnd/>
                      <a:tailEnd/>
                    </a:ln>
                  </pic:spPr>
                </pic:pic>
              </a:graphicData>
            </a:graphic>
          </wp:inline>
        </w:drawing>
      </w:r>
    </w:p>
    <w:p w:rsidR="00450EA9" w:rsidRPr="00450EA9" w:rsidRDefault="00450EA9" w:rsidP="00450EA9">
      <w:pPr>
        <w:rPr>
          <w:sz w:val="20"/>
        </w:rPr>
      </w:pPr>
    </w:p>
    <w:p w:rsidR="00450EA9" w:rsidRPr="00450EA9" w:rsidRDefault="00A560F2" w:rsidP="00450EA9">
      <w:pPr>
        <w:rPr>
          <w:sz w:val="20"/>
        </w:rPr>
      </w:pPr>
      <w:r>
        <w:rPr>
          <w:noProof/>
          <w:sz w:val="20"/>
          <w:lang w:eastAsia="tr-TR"/>
        </w:rPr>
        <w:drawing>
          <wp:inline distT="0" distB="0" distL="0" distR="0">
            <wp:extent cx="6661150" cy="2589387"/>
            <wp:effectExtent l="19050" t="0" r="635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661150" cy="2589387"/>
                    </a:xfrm>
                    <a:prstGeom prst="rect">
                      <a:avLst/>
                    </a:prstGeom>
                    <a:noFill/>
                    <a:ln w="9525">
                      <a:noFill/>
                      <a:miter lim="800000"/>
                      <a:headEnd/>
                      <a:tailEnd/>
                    </a:ln>
                  </pic:spPr>
                </pic:pic>
              </a:graphicData>
            </a:graphic>
          </wp:inline>
        </w:drawing>
      </w: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04244F">
      <w:pgSz w:w="11880" w:h="16780"/>
      <w:pgMar w:top="0"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36C19"/>
    <w:rsid w:val="0004244F"/>
    <w:rsid w:val="000A7B85"/>
    <w:rsid w:val="000C4F56"/>
    <w:rsid w:val="001307A2"/>
    <w:rsid w:val="00140FA8"/>
    <w:rsid w:val="001920EF"/>
    <w:rsid w:val="001C1EF2"/>
    <w:rsid w:val="001F6308"/>
    <w:rsid w:val="0021016D"/>
    <w:rsid w:val="00214C6B"/>
    <w:rsid w:val="0024638B"/>
    <w:rsid w:val="00263492"/>
    <w:rsid w:val="0027484D"/>
    <w:rsid w:val="00292C8D"/>
    <w:rsid w:val="002C3839"/>
    <w:rsid w:val="00336C86"/>
    <w:rsid w:val="003420F5"/>
    <w:rsid w:val="003E7A33"/>
    <w:rsid w:val="00403AD5"/>
    <w:rsid w:val="00411997"/>
    <w:rsid w:val="004255EF"/>
    <w:rsid w:val="00450EA9"/>
    <w:rsid w:val="004670B7"/>
    <w:rsid w:val="004C07F7"/>
    <w:rsid w:val="004C415A"/>
    <w:rsid w:val="00542E9D"/>
    <w:rsid w:val="005770E5"/>
    <w:rsid w:val="005C45D6"/>
    <w:rsid w:val="00613445"/>
    <w:rsid w:val="00646BCE"/>
    <w:rsid w:val="00703687"/>
    <w:rsid w:val="007412DD"/>
    <w:rsid w:val="007A0551"/>
    <w:rsid w:val="007F35D6"/>
    <w:rsid w:val="007F58E0"/>
    <w:rsid w:val="0081279D"/>
    <w:rsid w:val="0084079C"/>
    <w:rsid w:val="00887145"/>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7735"/>
    <w:rsid w:val="00DE6F1B"/>
    <w:rsid w:val="00E24221"/>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yseridh.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openxmlformats.org/officeDocument/2006/relationships/image" Target="media/image4.png"/><Relationship Id="rId5" Type="http://schemas.openxmlformats.org/officeDocument/2006/relationships/hyperlink" Target="mailto:kayseridevletsatinal@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12</cp:revision>
  <cp:lastPrinted>2022-01-31T08:29:00Z</cp:lastPrinted>
  <dcterms:created xsi:type="dcterms:W3CDTF">2022-03-17T12:39:00Z</dcterms:created>
  <dcterms:modified xsi:type="dcterms:W3CDTF">2022-07-26T12:38:00Z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