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297847">
            <w:pPr>
              <w:pStyle w:val="TableParagraph"/>
              <w:spacing w:line="256" w:lineRule="exact"/>
              <w:ind w:left="108"/>
              <w:rPr>
                <w:sz w:val="24"/>
              </w:rPr>
            </w:pPr>
            <w:r>
              <w:rPr>
                <w:sz w:val="24"/>
              </w:rPr>
              <w:t>22</w:t>
            </w:r>
            <w:r w:rsidR="00F86D2D">
              <w:rPr>
                <w:sz w:val="24"/>
              </w:rPr>
              <w:t>.02.</w:t>
            </w:r>
            <w:proofErr w:type="gramStart"/>
            <w:r w:rsidR="00F86D2D">
              <w:rPr>
                <w:sz w:val="24"/>
              </w:rPr>
              <w:t xml:space="preserve">2022 </w:t>
            </w:r>
            <w:r w:rsidR="0040116F">
              <w:rPr>
                <w:sz w:val="24"/>
              </w:rPr>
              <w:t xml:space="preserve">        12</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742A71">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742A71">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40116F">
            <w:pPr>
              <w:pStyle w:val="TableParagraph"/>
              <w:spacing w:line="256" w:lineRule="exact"/>
              <w:ind w:left="108"/>
              <w:rPr>
                <w:b/>
                <w:sz w:val="24"/>
              </w:rPr>
            </w:pPr>
            <w:r>
              <w:rPr>
                <w:b/>
                <w:sz w:val="24"/>
              </w:rPr>
              <w:t>64</w:t>
            </w:r>
            <w:bookmarkStart w:id="0" w:name="_GoBack"/>
            <w:bookmarkEnd w:id="0"/>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Default="001920EF">
            <w:pPr>
              <w:pStyle w:val="TableParagraph"/>
              <w:spacing w:line="170" w:lineRule="exact"/>
              <w:ind w:left="114"/>
              <w:rPr>
                <w:b/>
                <w:sz w:val="18"/>
                <w:szCs w:val="18"/>
              </w:rPr>
            </w:pPr>
          </w:p>
          <w:p w:rsidR="00136A4C" w:rsidRDefault="00136A4C">
            <w:pPr>
              <w:pStyle w:val="TableParagraph"/>
              <w:spacing w:line="170" w:lineRule="exact"/>
              <w:ind w:left="114"/>
              <w:rPr>
                <w:b/>
                <w:sz w:val="18"/>
                <w:szCs w:val="18"/>
              </w:rPr>
            </w:pPr>
          </w:p>
          <w:p w:rsidR="00136A4C" w:rsidRPr="00E76A70" w:rsidRDefault="00136A4C">
            <w:pPr>
              <w:pStyle w:val="TableParagraph"/>
              <w:spacing w:line="170" w:lineRule="exact"/>
              <w:ind w:left="114"/>
              <w:rPr>
                <w:b/>
                <w:sz w:val="18"/>
                <w:szCs w:val="18"/>
              </w:rPr>
            </w:pP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36A4C" w:rsidTr="00136A4C">
        <w:trPr>
          <w:trHeight w:val="370"/>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1</w:t>
            </w:r>
          </w:p>
        </w:tc>
        <w:tc>
          <w:tcPr>
            <w:tcW w:w="6951" w:type="dxa"/>
            <w:vAlign w:val="center"/>
          </w:tcPr>
          <w:p w:rsidR="00136A4C" w:rsidRPr="00136A4C" w:rsidRDefault="00136A4C" w:rsidP="00136A4C">
            <w:pPr>
              <w:adjustRightInd w:val="0"/>
              <w:jc w:val="center"/>
              <w:rPr>
                <w:sz w:val="16"/>
                <w:szCs w:val="16"/>
                <w:lang w:val="en-US"/>
              </w:rPr>
            </w:pPr>
            <w:r w:rsidRPr="00136A4C">
              <w:rPr>
                <w:sz w:val="16"/>
                <w:szCs w:val="16"/>
                <w:lang w:val="en-US"/>
              </w:rPr>
              <w:t>MALZ.ADI: GENTAMİSİN SÜLFAT 3MG/ML GÖZ/KULAK DAMLASI ŞİŞE</w:t>
            </w:r>
          </w:p>
        </w:tc>
        <w:tc>
          <w:tcPr>
            <w:tcW w:w="725" w:type="dxa"/>
            <w:vAlign w:val="center"/>
          </w:tcPr>
          <w:p w:rsidR="00136A4C" w:rsidRDefault="00136A4C" w:rsidP="00136A4C">
            <w:pPr>
              <w:adjustRightInd w:val="0"/>
              <w:jc w:val="center"/>
              <w:rPr>
                <w:sz w:val="16"/>
                <w:szCs w:val="16"/>
                <w:lang w:val="en-US"/>
              </w:rPr>
            </w:pPr>
            <w:r>
              <w:rPr>
                <w:sz w:val="16"/>
                <w:szCs w:val="16"/>
                <w:lang w:val="en-US"/>
              </w:rPr>
              <w:t>30</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36A4C" w:rsidTr="00136A4C">
        <w:trPr>
          <w:trHeight w:val="273"/>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2</w:t>
            </w:r>
          </w:p>
        </w:tc>
        <w:tc>
          <w:tcPr>
            <w:tcW w:w="6951" w:type="dxa"/>
            <w:vAlign w:val="center"/>
          </w:tcPr>
          <w:p w:rsidR="00136A4C" w:rsidRPr="00136A4C" w:rsidRDefault="00136A4C" w:rsidP="00136A4C">
            <w:pPr>
              <w:adjustRightInd w:val="0"/>
              <w:jc w:val="center"/>
              <w:rPr>
                <w:sz w:val="16"/>
                <w:szCs w:val="16"/>
                <w:lang w:val="en-US"/>
              </w:rPr>
            </w:pPr>
            <w:r w:rsidRPr="00136A4C">
              <w:rPr>
                <w:sz w:val="16"/>
                <w:szCs w:val="16"/>
                <w:lang w:val="en-US"/>
              </w:rPr>
              <w:t>MALZ.ADI: TROPİKAMİD 10 MG/ML GÖZ DAMLASI ŞİŞE</w:t>
            </w:r>
          </w:p>
        </w:tc>
        <w:tc>
          <w:tcPr>
            <w:tcW w:w="725" w:type="dxa"/>
            <w:vAlign w:val="center"/>
          </w:tcPr>
          <w:p w:rsidR="00136A4C" w:rsidRDefault="00136A4C" w:rsidP="00136A4C">
            <w:pPr>
              <w:adjustRightInd w:val="0"/>
              <w:jc w:val="center"/>
              <w:rPr>
                <w:sz w:val="16"/>
                <w:szCs w:val="16"/>
                <w:lang w:val="en-US"/>
              </w:rPr>
            </w:pPr>
            <w:r>
              <w:rPr>
                <w:sz w:val="16"/>
                <w:szCs w:val="16"/>
                <w:lang w:val="en-US"/>
              </w:rPr>
              <w:t>100</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36A4C" w:rsidTr="00136A4C">
        <w:trPr>
          <w:trHeight w:val="396"/>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3</w:t>
            </w:r>
          </w:p>
        </w:tc>
        <w:tc>
          <w:tcPr>
            <w:tcW w:w="6951" w:type="dxa"/>
            <w:vAlign w:val="center"/>
          </w:tcPr>
          <w:p w:rsidR="00136A4C" w:rsidRPr="00136A4C" w:rsidRDefault="00136A4C" w:rsidP="00136A4C">
            <w:pPr>
              <w:adjustRightInd w:val="0"/>
              <w:jc w:val="center"/>
              <w:rPr>
                <w:sz w:val="16"/>
                <w:szCs w:val="16"/>
                <w:lang w:val="en-US"/>
              </w:rPr>
            </w:pPr>
            <w:r w:rsidRPr="00136A4C">
              <w:rPr>
                <w:sz w:val="16"/>
                <w:szCs w:val="16"/>
                <w:lang w:val="en-US"/>
              </w:rPr>
              <w:t>MALZ.ADI: SİKLOPENTOLAT HCL 10MG/G GÖZ DAMLASI ŞİŞE</w:t>
            </w:r>
          </w:p>
        </w:tc>
        <w:tc>
          <w:tcPr>
            <w:tcW w:w="725" w:type="dxa"/>
            <w:vAlign w:val="center"/>
          </w:tcPr>
          <w:p w:rsidR="00136A4C" w:rsidRDefault="00136A4C" w:rsidP="00136A4C">
            <w:pPr>
              <w:adjustRightInd w:val="0"/>
              <w:jc w:val="center"/>
              <w:rPr>
                <w:sz w:val="16"/>
                <w:szCs w:val="16"/>
                <w:lang w:val="en-US"/>
              </w:rPr>
            </w:pPr>
            <w:r>
              <w:rPr>
                <w:sz w:val="16"/>
                <w:szCs w:val="16"/>
                <w:lang w:val="en-US"/>
              </w:rPr>
              <w:t>100</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36A4C" w:rsidTr="00136A4C">
        <w:trPr>
          <w:trHeight w:val="254"/>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4</w:t>
            </w:r>
          </w:p>
        </w:tc>
        <w:tc>
          <w:tcPr>
            <w:tcW w:w="6951" w:type="dxa"/>
            <w:vAlign w:val="center"/>
          </w:tcPr>
          <w:p w:rsidR="00136A4C" w:rsidRPr="00136A4C" w:rsidRDefault="00136A4C" w:rsidP="00136A4C">
            <w:pPr>
              <w:adjustRightInd w:val="0"/>
              <w:jc w:val="center"/>
              <w:rPr>
                <w:sz w:val="16"/>
                <w:szCs w:val="16"/>
                <w:lang w:val="en-US"/>
              </w:rPr>
            </w:pPr>
            <w:r w:rsidRPr="00136A4C">
              <w:rPr>
                <w:sz w:val="16"/>
                <w:szCs w:val="16"/>
                <w:lang w:val="en-US"/>
              </w:rPr>
              <w:t>MALZ.ADI: HALOPERİDOL 5 MG/ML AMPUL</w:t>
            </w:r>
          </w:p>
        </w:tc>
        <w:tc>
          <w:tcPr>
            <w:tcW w:w="725" w:type="dxa"/>
            <w:vAlign w:val="center"/>
          </w:tcPr>
          <w:p w:rsidR="00136A4C" w:rsidRDefault="00136A4C" w:rsidP="00136A4C">
            <w:pPr>
              <w:adjustRightInd w:val="0"/>
              <w:jc w:val="center"/>
              <w:rPr>
                <w:sz w:val="16"/>
                <w:szCs w:val="16"/>
                <w:lang w:val="en-US"/>
              </w:rPr>
            </w:pPr>
            <w:r>
              <w:rPr>
                <w:sz w:val="16"/>
                <w:szCs w:val="16"/>
                <w:lang w:val="en-US"/>
              </w:rPr>
              <w:t>300</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36A4C" w:rsidTr="00136A4C">
        <w:trPr>
          <w:trHeight w:val="254"/>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5</w:t>
            </w:r>
          </w:p>
        </w:tc>
        <w:tc>
          <w:tcPr>
            <w:tcW w:w="6951" w:type="dxa"/>
            <w:vAlign w:val="center"/>
          </w:tcPr>
          <w:p w:rsidR="00136A4C" w:rsidRPr="00136A4C" w:rsidRDefault="00136A4C" w:rsidP="00136A4C">
            <w:pPr>
              <w:adjustRightInd w:val="0"/>
              <w:jc w:val="center"/>
              <w:rPr>
                <w:sz w:val="16"/>
                <w:szCs w:val="16"/>
                <w:lang w:val="en-US"/>
              </w:rPr>
            </w:pPr>
            <w:r w:rsidRPr="00136A4C">
              <w:rPr>
                <w:sz w:val="16"/>
                <w:szCs w:val="16"/>
                <w:lang w:val="en-US"/>
              </w:rPr>
              <w:t>MALZ.ADI: DEKSKETOPROFEN TROMETAMOL 50 MG / 2 ML AMPUL</w:t>
            </w:r>
          </w:p>
        </w:tc>
        <w:tc>
          <w:tcPr>
            <w:tcW w:w="725" w:type="dxa"/>
            <w:vAlign w:val="center"/>
          </w:tcPr>
          <w:p w:rsidR="00136A4C" w:rsidRDefault="00136A4C" w:rsidP="00136A4C">
            <w:pPr>
              <w:adjustRightInd w:val="0"/>
              <w:jc w:val="center"/>
              <w:rPr>
                <w:sz w:val="16"/>
                <w:szCs w:val="16"/>
                <w:lang w:val="en-US"/>
              </w:rPr>
            </w:pPr>
            <w:r>
              <w:rPr>
                <w:sz w:val="16"/>
                <w:szCs w:val="16"/>
                <w:lang w:val="en-US"/>
              </w:rPr>
              <w:t>15000</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36A4C" w:rsidTr="00136A4C">
        <w:trPr>
          <w:trHeight w:val="357"/>
        </w:trPr>
        <w:tc>
          <w:tcPr>
            <w:tcW w:w="443" w:type="dxa"/>
            <w:vAlign w:val="center"/>
          </w:tcPr>
          <w:p w:rsidR="00136A4C" w:rsidRPr="00964B28" w:rsidRDefault="00136A4C" w:rsidP="00136A4C">
            <w:pPr>
              <w:adjustRightInd w:val="0"/>
              <w:jc w:val="center"/>
              <w:rPr>
                <w:color w:val="000000"/>
                <w:sz w:val="20"/>
                <w:szCs w:val="20"/>
              </w:rPr>
            </w:pPr>
            <w:r w:rsidRPr="00964B28">
              <w:rPr>
                <w:color w:val="000000"/>
                <w:sz w:val="20"/>
                <w:szCs w:val="20"/>
              </w:rPr>
              <w:t>6</w:t>
            </w:r>
          </w:p>
        </w:tc>
        <w:tc>
          <w:tcPr>
            <w:tcW w:w="6951" w:type="dxa"/>
            <w:vAlign w:val="center"/>
          </w:tcPr>
          <w:p w:rsidR="00136A4C" w:rsidRPr="00136A4C" w:rsidRDefault="00136A4C" w:rsidP="00136A4C">
            <w:pPr>
              <w:adjustRightInd w:val="0"/>
              <w:jc w:val="center"/>
              <w:rPr>
                <w:sz w:val="16"/>
                <w:szCs w:val="16"/>
                <w:lang w:val="en-US"/>
              </w:rPr>
            </w:pPr>
            <w:r w:rsidRPr="00136A4C">
              <w:rPr>
                <w:sz w:val="16"/>
                <w:szCs w:val="16"/>
                <w:lang w:val="en-US"/>
              </w:rPr>
              <w:t>MALZ.ADI: DIKLOFENAK SODYUM 75 MG/3 ML AMPUL</w:t>
            </w:r>
          </w:p>
        </w:tc>
        <w:tc>
          <w:tcPr>
            <w:tcW w:w="725" w:type="dxa"/>
            <w:vAlign w:val="center"/>
          </w:tcPr>
          <w:p w:rsidR="00136A4C" w:rsidRDefault="00136A4C" w:rsidP="00136A4C">
            <w:pPr>
              <w:adjustRightInd w:val="0"/>
              <w:jc w:val="center"/>
              <w:rPr>
                <w:sz w:val="16"/>
                <w:szCs w:val="16"/>
                <w:lang w:val="en-US"/>
              </w:rPr>
            </w:pPr>
            <w:r>
              <w:rPr>
                <w:sz w:val="16"/>
                <w:szCs w:val="16"/>
                <w:lang w:val="en-US"/>
              </w:rPr>
              <w:t>10000</w:t>
            </w:r>
          </w:p>
        </w:tc>
        <w:tc>
          <w:tcPr>
            <w:tcW w:w="725" w:type="dxa"/>
            <w:vAlign w:val="center"/>
          </w:tcPr>
          <w:p w:rsidR="00136A4C" w:rsidRDefault="00136A4C" w:rsidP="00136A4C">
            <w:pPr>
              <w:jc w:val="center"/>
              <w:rPr>
                <w:sz w:val="16"/>
                <w:szCs w:val="16"/>
              </w:rPr>
            </w:pPr>
            <w:r>
              <w:rPr>
                <w:sz w:val="16"/>
                <w:szCs w:val="16"/>
              </w:rPr>
              <w:t>ADET</w:t>
            </w:r>
          </w:p>
        </w:tc>
        <w:tc>
          <w:tcPr>
            <w:tcW w:w="870" w:type="dxa"/>
            <w:vAlign w:val="center"/>
          </w:tcPr>
          <w:p w:rsidR="00136A4C" w:rsidRPr="00E76A70" w:rsidRDefault="00136A4C" w:rsidP="00136A4C">
            <w:pPr>
              <w:pStyle w:val="TableParagraph"/>
              <w:jc w:val="center"/>
              <w:rPr>
                <w:sz w:val="18"/>
                <w:szCs w:val="18"/>
              </w:rPr>
            </w:pPr>
          </w:p>
        </w:tc>
        <w:tc>
          <w:tcPr>
            <w:tcW w:w="776" w:type="dxa"/>
            <w:vAlign w:val="center"/>
          </w:tcPr>
          <w:p w:rsidR="00136A4C" w:rsidRPr="00E76A70" w:rsidRDefault="00136A4C" w:rsidP="00136A4C">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36A4C" w:rsidRDefault="00136A4C" w:rsidP="00136A4C">
      <w:pPr>
        <w:spacing w:line="228" w:lineRule="exact"/>
        <w:jc w:val="both"/>
        <w:rPr>
          <w:b/>
          <w:sz w:val="20"/>
        </w:rPr>
      </w:pPr>
      <w:r w:rsidRPr="00136A4C">
        <w:rPr>
          <w:b/>
          <w:color w:val="FF0000"/>
          <w:sz w:val="20"/>
        </w:rPr>
        <w:t>NOT ÖDEMELER GENEL BÜTÇEDEN YAPILACAKTIR</w:t>
      </w:r>
      <w:r>
        <w:rPr>
          <w:b/>
          <w:sz w:val="20"/>
        </w:rPr>
        <w:t>.</w:t>
      </w:r>
    </w:p>
    <w:p w:rsidR="00136A4C" w:rsidRDefault="00136A4C">
      <w:pPr>
        <w:spacing w:line="228" w:lineRule="exact"/>
        <w:ind w:left="106"/>
        <w:jc w:val="both"/>
        <w:rPr>
          <w:b/>
          <w:sz w:val="20"/>
        </w:rPr>
      </w:pPr>
    </w:p>
    <w:p w:rsidR="001920EF" w:rsidRDefault="00F86D2D" w:rsidP="00136A4C">
      <w:pPr>
        <w:spacing w:line="228" w:lineRule="exact"/>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136A4C">
        <w:rPr>
          <w:b/>
          <w:sz w:val="20"/>
          <w:szCs w:val="20"/>
          <w:u w:val="thick"/>
        </w:rPr>
        <w:t>Genel Bütçe</w:t>
      </w:r>
      <w:r w:rsidRPr="005770E5">
        <w:rPr>
          <w:b/>
          <w:sz w:val="20"/>
          <w:szCs w:val="20"/>
        </w:rPr>
        <w:t xml:space="preserve"> </w:t>
      </w:r>
      <w:r w:rsidRPr="005770E5">
        <w:rPr>
          <w:sz w:val="20"/>
          <w:szCs w:val="20"/>
        </w:rPr>
        <w:t xml:space="preserve">ödemesi olarak ortalama </w:t>
      </w:r>
      <w:r w:rsidR="00136A4C">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2DB3"/>
    <w:rsid w:val="000376C5"/>
    <w:rsid w:val="000C4F56"/>
    <w:rsid w:val="00136A4C"/>
    <w:rsid w:val="001920EF"/>
    <w:rsid w:val="00297847"/>
    <w:rsid w:val="0040116F"/>
    <w:rsid w:val="005770E5"/>
    <w:rsid w:val="005C45D6"/>
    <w:rsid w:val="006A67A1"/>
    <w:rsid w:val="0079242F"/>
    <w:rsid w:val="0084079C"/>
    <w:rsid w:val="008A0987"/>
    <w:rsid w:val="009B593B"/>
    <w:rsid w:val="00BF39CF"/>
    <w:rsid w:val="00C21197"/>
    <w:rsid w:val="00C8792E"/>
    <w:rsid w:val="00CF5196"/>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601F-70C5-4E43-950D-8F6E8BDF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2</cp:revision>
  <cp:lastPrinted>2022-01-31T08:29:00Z</cp:lastPrinted>
  <dcterms:created xsi:type="dcterms:W3CDTF">2022-02-22T06:36:00Z</dcterms:created>
  <dcterms:modified xsi:type="dcterms:W3CDTF">2022-02-22T06:36:00Z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